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DDF" w:rsidRPr="00167DDF" w:rsidRDefault="00167DDF" w:rsidP="00167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t xml:space="preserve">Beam Modes from updated </w:t>
      </w:r>
      <w:r w:rsidR="006B358A">
        <w:fldChar w:fldCharType="begin"/>
      </w:r>
      <w:r w:rsidR="006B358A">
        <w:instrText xml:space="preserve"> DOCPROPERTY "MXName"  \* MERGEFORMAT </w:instrText>
      </w:r>
      <w:r w:rsidR="006B358A">
        <w:fldChar w:fldCharType="separate"/>
      </w:r>
      <w:r>
        <w:t>ESS-0038258</w:t>
      </w:r>
      <w:r w:rsidR="006B358A">
        <w:fldChar w:fldCharType="end"/>
      </w:r>
      <w:r>
        <w:t xml:space="preserve"> </w:t>
      </w:r>
      <w:r w:rsidRPr="00C2157C">
        <w:rPr>
          <w:lang w:val="en-US"/>
        </w:rPr>
        <w:fldChar w:fldCharType="begin"/>
      </w:r>
      <w:r w:rsidRPr="00C2157C">
        <w:rPr>
          <w:lang w:val="en-US"/>
        </w:rPr>
        <w:instrText xml:space="preserve"> DOCPROPERTY "MXTitle"  \* MERGEFORMAT </w:instrText>
      </w:r>
      <w:r w:rsidRPr="00C2157C">
        <w:rPr>
          <w:lang w:val="en-US"/>
        </w:rPr>
        <w:fldChar w:fldCharType="separate"/>
      </w:r>
      <w:r w:rsidRPr="00C2157C">
        <w:rPr>
          <w:lang w:val="en-US"/>
        </w:rPr>
        <w:t>Description of Modes for ESS Accelerator Operation</w:t>
      </w:r>
      <w:r w:rsidRPr="00C2157C">
        <w:fldChar w:fldCharType="end"/>
      </w:r>
      <w:r w:rsidR="00CA468C">
        <w:t xml:space="preserve"> Rev 5</w:t>
      </w:r>
    </w:p>
    <w:p w:rsidR="00167DDF" w:rsidRPr="00167DDF" w:rsidRDefault="00167DDF" w:rsidP="00167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IE"/>
        </w:rPr>
      </w:pPr>
    </w:p>
    <w:tbl>
      <w:tblPr>
        <w:tblStyle w:val="LightGrid-Accent5"/>
        <w:tblW w:w="0" w:type="auto"/>
        <w:jc w:val="center"/>
        <w:tblLook w:val="0620" w:firstRow="1" w:lastRow="0" w:firstColumn="0" w:lastColumn="0" w:noHBand="1" w:noVBand="1"/>
      </w:tblPr>
      <w:tblGrid>
        <w:gridCol w:w="1785"/>
        <w:gridCol w:w="2003"/>
        <w:gridCol w:w="2229"/>
        <w:gridCol w:w="3035"/>
      </w:tblGrid>
      <w:tr w:rsidR="00167DDF" w:rsidRPr="00795A19" w:rsidTr="00BD76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797"/>
          <w:jc w:val="center"/>
        </w:trPr>
        <w:tc>
          <w:tcPr>
            <w:tcW w:w="1785" w:type="dxa"/>
          </w:tcPr>
          <w:p w:rsidR="00167DDF" w:rsidRDefault="00167DDF" w:rsidP="00BD76ED">
            <w:pPr>
              <w:pStyle w:val="ESS-TableText"/>
              <w:jc w:val="center"/>
              <w:rPr>
                <w:lang w:val="en-US"/>
              </w:rPr>
            </w:pPr>
            <w:r>
              <w:rPr>
                <w:lang w:val="en-US"/>
              </w:rPr>
              <w:t>Old Key</w:t>
            </w:r>
            <w:r w:rsidR="00AB0C1F">
              <w:rPr>
                <w:lang w:val="en-US"/>
              </w:rPr>
              <w:t xml:space="preserve"> as per previous revision</w:t>
            </w:r>
            <w:r w:rsidR="00CA468C">
              <w:rPr>
                <w:lang w:val="en-US"/>
              </w:rPr>
              <w:t xml:space="preserve"> REV4</w:t>
            </w:r>
          </w:p>
        </w:tc>
        <w:tc>
          <w:tcPr>
            <w:tcW w:w="2003" w:type="dxa"/>
          </w:tcPr>
          <w:p w:rsidR="00167DDF" w:rsidRDefault="00167DDF" w:rsidP="00BD76ED">
            <w:pPr>
              <w:pStyle w:val="ESS-TableText"/>
              <w:jc w:val="center"/>
              <w:rPr>
                <w:lang w:val="en-US"/>
              </w:rPr>
            </w:pPr>
            <w:r>
              <w:rPr>
                <w:lang w:val="en-US"/>
              </w:rPr>
              <w:t>New Key</w:t>
            </w:r>
            <w:r w:rsidR="00AB0C1F">
              <w:rPr>
                <w:lang w:val="en-US"/>
              </w:rPr>
              <w:t xml:space="preserve"> as per </w:t>
            </w:r>
            <w:proofErr w:type="spellStart"/>
            <w:r w:rsidR="00AB0C1F">
              <w:rPr>
                <w:lang w:val="en-US"/>
              </w:rPr>
              <w:t>Gitlab</w:t>
            </w:r>
            <w:proofErr w:type="spellEnd"/>
            <w:r w:rsidR="00AB0C1F">
              <w:rPr>
                <w:lang w:val="en-US"/>
              </w:rPr>
              <w:t xml:space="preserve"> file</w:t>
            </w:r>
          </w:p>
        </w:tc>
        <w:tc>
          <w:tcPr>
            <w:tcW w:w="2229" w:type="dxa"/>
            <w:noWrap/>
          </w:tcPr>
          <w:p w:rsidR="00167DDF" w:rsidRPr="00795A19" w:rsidRDefault="00167DDF" w:rsidP="00BD76ED">
            <w:pPr>
              <w:pStyle w:val="ESS-TableText"/>
              <w:jc w:val="center"/>
              <w:rPr>
                <w:lang w:val="en-US"/>
              </w:rPr>
            </w:pPr>
            <w:r>
              <w:rPr>
                <w:lang w:val="en-US"/>
              </w:rPr>
              <w:t>Name</w:t>
            </w:r>
          </w:p>
        </w:tc>
        <w:tc>
          <w:tcPr>
            <w:tcW w:w="3035" w:type="dxa"/>
          </w:tcPr>
          <w:p w:rsidR="00167DDF" w:rsidRPr="00795A19" w:rsidRDefault="00167DDF" w:rsidP="00BD76ED">
            <w:pPr>
              <w:pStyle w:val="ESS-TableText"/>
              <w:jc w:val="center"/>
              <w:rPr>
                <w:lang w:val="en-US"/>
              </w:rPr>
            </w:pPr>
            <w:r>
              <w:rPr>
                <w:lang w:val="en-US"/>
              </w:rPr>
              <w:t>Description</w:t>
            </w:r>
          </w:p>
        </w:tc>
      </w:tr>
      <w:tr w:rsidR="00167DDF" w:rsidRPr="00795A19" w:rsidTr="00D55335">
        <w:trPr>
          <w:cantSplit/>
          <w:jc w:val="center"/>
        </w:trPr>
        <w:tc>
          <w:tcPr>
            <w:tcW w:w="1785" w:type="dxa"/>
            <w:tcBorders>
              <w:bottom w:val="single" w:sz="8" w:space="0" w:color="4472C4" w:themeColor="accent5"/>
            </w:tcBorders>
            <w:shd w:val="clear" w:color="auto" w:fill="A6A6A6" w:themeFill="background1" w:themeFillShade="A6"/>
            <w:vAlign w:val="center"/>
          </w:tcPr>
          <w:p w:rsidR="00167DDF" w:rsidRPr="00795A19" w:rsidRDefault="00AB0C1F" w:rsidP="00AB0C1F">
            <w:pPr>
              <w:pStyle w:val="ESS-TableText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2003" w:type="dxa"/>
            <w:tcBorders>
              <w:bottom w:val="single" w:sz="8" w:space="0" w:color="4472C4" w:themeColor="accent5"/>
            </w:tcBorders>
            <w:vAlign w:val="center"/>
          </w:tcPr>
          <w:p w:rsidR="00167DDF" w:rsidRPr="00795A19" w:rsidRDefault="00167DDF" w:rsidP="00BD76ED">
            <w:pPr>
              <w:pStyle w:val="ESS-TableText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2229" w:type="dxa"/>
            <w:tcBorders>
              <w:bottom w:val="single" w:sz="8" w:space="0" w:color="4472C4" w:themeColor="accent5"/>
            </w:tcBorders>
            <w:noWrap/>
            <w:hideMark/>
          </w:tcPr>
          <w:p w:rsidR="00167DDF" w:rsidRPr="00795A19" w:rsidRDefault="00167DDF" w:rsidP="00BD76ED">
            <w:pPr>
              <w:pStyle w:val="ESS-TableText"/>
              <w:rPr>
                <w:lang w:val="en-US"/>
              </w:rPr>
            </w:pPr>
            <w:r w:rsidRPr="00795A19">
              <w:rPr>
                <w:lang w:val="en-US"/>
              </w:rPr>
              <w:t>No Beam</w:t>
            </w:r>
          </w:p>
        </w:tc>
        <w:tc>
          <w:tcPr>
            <w:tcW w:w="3035" w:type="dxa"/>
            <w:tcBorders>
              <w:bottom w:val="single" w:sz="8" w:space="0" w:color="4472C4" w:themeColor="accent5"/>
            </w:tcBorders>
            <w:hideMark/>
          </w:tcPr>
          <w:p w:rsidR="00167DDF" w:rsidRPr="00795A19" w:rsidRDefault="00167DDF" w:rsidP="00BD76ED">
            <w:pPr>
              <w:pStyle w:val="ESS-TableText"/>
              <w:rPr>
                <w:lang w:val="en-US"/>
              </w:rPr>
            </w:pPr>
            <w:r w:rsidRPr="00795A19">
              <w:rPr>
                <w:lang w:val="en-US"/>
              </w:rPr>
              <w:t>No Beam</w:t>
            </w:r>
          </w:p>
        </w:tc>
      </w:tr>
      <w:tr w:rsidR="00167DDF" w:rsidRPr="00330410" w:rsidTr="00D55335">
        <w:trPr>
          <w:cantSplit/>
          <w:jc w:val="center"/>
        </w:trPr>
        <w:tc>
          <w:tcPr>
            <w:tcW w:w="1785" w:type="dxa"/>
            <w:tcBorders>
              <w:top w:val="single" w:sz="8" w:space="0" w:color="4472C4" w:themeColor="accent5"/>
            </w:tcBorders>
            <w:shd w:val="clear" w:color="auto" w:fill="A6A6A6" w:themeFill="background1" w:themeFillShade="A6"/>
            <w:vAlign w:val="center"/>
          </w:tcPr>
          <w:p w:rsidR="00167DDF" w:rsidRPr="006851DB" w:rsidRDefault="00CA468C" w:rsidP="00AB0C1F">
            <w:pPr>
              <w:pStyle w:val="ESS-TableText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Not in previous document</w:t>
            </w:r>
          </w:p>
        </w:tc>
        <w:tc>
          <w:tcPr>
            <w:tcW w:w="2003" w:type="dxa"/>
            <w:tcBorders>
              <w:top w:val="single" w:sz="8" w:space="0" w:color="4472C4" w:themeColor="accent5"/>
            </w:tcBorders>
            <w:vAlign w:val="center"/>
          </w:tcPr>
          <w:p w:rsidR="00167DDF" w:rsidRPr="006851DB" w:rsidRDefault="00D55335" w:rsidP="00BD76ED">
            <w:pPr>
              <w:pStyle w:val="ESS-TableText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</w:t>
            </w:r>
          </w:p>
        </w:tc>
        <w:tc>
          <w:tcPr>
            <w:tcW w:w="2229" w:type="dxa"/>
            <w:tcBorders>
              <w:top w:val="single" w:sz="8" w:space="0" w:color="4472C4" w:themeColor="accent5"/>
            </w:tcBorders>
            <w:noWrap/>
          </w:tcPr>
          <w:p w:rsidR="00167DDF" w:rsidRPr="006851DB" w:rsidRDefault="00167DDF" w:rsidP="00BD76ED">
            <w:pPr>
              <w:pStyle w:val="ESS-TableText"/>
              <w:rPr>
                <w:color w:val="000000" w:themeColor="text1"/>
                <w:lang w:val="en-US"/>
              </w:rPr>
            </w:pPr>
            <w:r w:rsidRPr="006851DB">
              <w:rPr>
                <w:color w:val="000000" w:themeColor="text1"/>
                <w:lang w:val="en-US"/>
              </w:rPr>
              <w:t>Conditioning</w:t>
            </w:r>
          </w:p>
        </w:tc>
        <w:tc>
          <w:tcPr>
            <w:tcW w:w="3035" w:type="dxa"/>
            <w:tcBorders>
              <w:top w:val="single" w:sz="8" w:space="0" w:color="4472C4" w:themeColor="accent5"/>
            </w:tcBorders>
          </w:tcPr>
          <w:p w:rsidR="00167DDF" w:rsidRPr="006851DB" w:rsidRDefault="00167DDF" w:rsidP="00BD76ED">
            <w:pPr>
              <w:pStyle w:val="ESS-TableTex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Plasma production, m</w:t>
            </w:r>
            <w:r w:rsidRPr="006851DB">
              <w:rPr>
                <w:color w:val="000000" w:themeColor="text1"/>
                <w:lang w:val="en-US"/>
              </w:rPr>
              <w:t>agnetron allowed but no extraction</w:t>
            </w:r>
            <w:r>
              <w:rPr>
                <w:color w:val="000000" w:themeColor="text1"/>
                <w:lang w:val="en-US"/>
              </w:rPr>
              <w:t xml:space="preserve"> HV</w:t>
            </w:r>
          </w:p>
        </w:tc>
      </w:tr>
      <w:tr w:rsidR="00167DDF" w:rsidRPr="00D23B11" w:rsidTr="00D55335">
        <w:trPr>
          <w:cantSplit/>
          <w:jc w:val="center"/>
        </w:trPr>
        <w:tc>
          <w:tcPr>
            <w:tcW w:w="1785" w:type="dxa"/>
            <w:shd w:val="clear" w:color="auto" w:fill="A6A6A6" w:themeFill="background1" w:themeFillShade="A6"/>
            <w:vAlign w:val="center"/>
          </w:tcPr>
          <w:p w:rsidR="00167DDF" w:rsidRPr="00D23B11" w:rsidRDefault="00AB0C1F" w:rsidP="00AB0C1F">
            <w:pPr>
              <w:pStyle w:val="ESS-TableText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003" w:type="dxa"/>
            <w:vAlign w:val="center"/>
          </w:tcPr>
          <w:p w:rsidR="00167DDF" w:rsidRPr="00D23B11" w:rsidRDefault="00D55335" w:rsidP="00BD76ED">
            <w:pPr>
              <w:pStyle w:val="ESS-TableText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229" w:type="dxa"/>
            <w:noWrap/>
            <w:hideMark/>
          </w:tcPr>
          <w:p w:rsidR="00167DDF" w:rsidRPr="00D23B11" w:rsidRDefault="00167DDF" w:rsidP="00BD76ED">
            <w:pPr>
              <w:pStyle w:val="ESS-TableText"/>
              <w:rPr>
                <w:lang w:val="en-US"/>
              </w:rPr>
            </w:pPr>
            <w:r w:rsidRPr="00D23B11">
              <w:rPr>
                <w:lang w:val="en-US"/>
              </w:rPr>
              <w:t xml:space="preserve">Probe </w:t>
            </w:r>
          </w:p>
        </w:tc>
        <w:tc>
          <w:tcPr>
            <w:tcW w:w="3035" w:type="dxa"/>
            <w:hideMark/>
          </w:tcPr>
          <w:p w:rsidR="00167DDF" w:rsidRPr="00D23B11" w:rsidRDefault="00167DDF" w:rsidP="00BD76ED">
            <w:pPr>
              <w:pStyle w:val="ESS-TableText"/>
              <w:rPr>
                <w:lang w:val="en-US"/>
              </w:rPr>
            </w:pPr>
            <w:r w:rsidRPr="00D23B11">
              <w:rPr>
                <w:lang w:val="en-US"/>
              </w:rPr>
              <w:t>First beam through a particular section; non-damaging even in the case of total beam loss</w:t>
            </w:r>
            <w:r>
              <w:rPr>
                <w:lang w:val="en-US"/>
              </w:rPr>
              <w:t xml:space="preserve"> (even repeated)</w:t>
            </w:r>
            <w:r w:rsidRPr="00D23B11">
              <w:rPr>
                <w:lang w:val="en-US"/>
              </w:rPr>
              <w:t>; used to verify that machine configuration is not grossly incorrect</w:t>
            </w:r>
          </w:p>
        </w:tc>
      </w:tr>
      <w:tr w:rsidR="00167DDF" w:rsidRPr="00D23B11" w:rsidTr="00D55335">
        <w:trPr>
          <w:cantSplit/>
          <w:jc w:val="center"/>
        </w:trPr>
        <w:tc>
          <w:tcPr>
            <w:tcW w:w="1785" w:type="dxa"/>
            <w:shd w:val="clear" w:color="auto" w:fill="A6A6A6" w:themeFill="background1" w:themeFillShade="A6"/>
            <w:vAlign w:val="center"/>
          </w:tcPr>
          <w:p w:rsidR="00167DDF" w:rsidRDefault="00CA468C" w:rsidP="00AB0C1F">
            <w:pPr>
              <w:pStyle w:val="ESS-TableText"/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2003" w:type="dxa"/>
            <w:vAlign w:val="center"/>
          </w:tcPr>
          <w:p w:rsidR="00167DDF" w:rsidRDefault="00D55335" w:rsidP="00BD76ED">
            <w:pPr>
              <w:pStyle w:val="ESS-TableText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229" w:type="dxa"/>
            <w:noWrap/>
          </w:tcPr>
          <w:p w:rsidR="00167DDF" w:rsidRPr="00D23B11" w:rsidRDefault="00167DDF" w:rsidP="00BD76ED">
            <w:pPr>
              <w:pStyle w:val="ESS-TableText"/>
              <w:rPr>
                <w:lang w:val="en-US"/>
              </w:rPr>
            </w:pPr>
            <w:r>
              <w:rPr>
                <w:lang w:val="en-US"/>
              </w:rPr>
              <w:t>Fast commissioning</w:t>
            </w:r>
          </w:p>
        </w:tc>
        <w:tc>
          <w:tcPr>
            <w:tcW w:w="3035" w:type="dxa"/>
          </w:tcPr>
          <w:p w:rsidR="00167DDF" w:rsidRPr="00D23B11" w:rsidRDefault="00167DDF" w:rsidP="00BD76ED">
            <w:pPr>
              <w:pStyle w:val="ESS-TableText"/>
              <w:rPr>
                <w:lang w:val="en-US"/>
              </w:rPr>
            </w:pPr>
            <w:r w:rsidRPr="00795A19">
              <w:rPr>
                <w:lang w:val="en-US"/>
              </w:rPr>
              <w:t xml:space="preserve">Limited beam loading; used for fast scans to rapidly determine/verify RF </w:t>
            </w:r>
            <w:proofErr w:type="spellStart"/>
            <w:r w:rsidRPr="00795A19">
              <w:rPr>
                <w:lang w:val="en-US"/>
              </w:rPr>
              <w:t>setpoints</w:t>
            </w:r>
            <w:proofErr w:type="spellEnd"/>
            <w:r w:rsidRPr="00795A19">
              <w:rPr>
                <w:lang w:val="en-US"/>
              </w:rPr>
              <w:t xml:space="preserve"> </w:t>
            </w:r>
          </w:p>
        </w:tc>
      </w:tr>
      <w:tr w:rsidR="00167DDF" w:rsidRPr="00D23B11" w:rsidTr="00D55335">
        <w:trPr>
          <w:cantSplit/>
          <w:jc w:val="center"/>
        </w:trPr>
        <w:tc>
          <w:tcPr>
            <w:tcW w:w="1785" w:type="dxa"/>
            <w:shd w:val="clear" w:color="auto" w:fill="A6A6A6" w:themeFill="background1" w:themeFillShade="A6"/>
            <w:vAlign w:val="center"/>
          </w:tcPr>
          <w:p w:rsidR="00167DDF" w:rsidRDefault="00CA468C" w:rsidP="00AB0C1F">
            <w:pPr>
              <w:pStyle w:val="ESS-TableText"/>
              <w:jc w:val="center"/>
              <w:rPr>
                <w:lang w:val="en-US"/>
              </w:rPr>
            </w:pPr>
            <w:r>
              <w:rPr>
                <w:color w:val="000000" w:themeColor="text1"/>
                <w:lang w:val="en-US"/>
              </w:rPr>
              <w:t>Not in previous document</w:t>
            </w:r>
          </w:p>
        </w:tc>
        <w:tc>
          <w:tcPr>
            <w:tcW w:w="2003" w:type="dxa"/>
            <w:vAlign w:val="center"/>
          </w:tcPr>
          <w:p w:rsidR="00167DDF" w:rsidRDefault="00D55335" w:rsidP="00BD76ED">
            <w:pPr>
              <w:pStyle w:val="ESS-TableText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229" w:type="dxa"/>
            <w:noWrap/>
          </w:tcPr>
          <w:p w:rsidR="00167DDF" w:rsidRPr="00D23B11" w:rsidRDefault="00167DDF" w:rsidP="00BD76ED">
            <w:pPr>
              <w:pStyle w:val="ESS-TableText"/>
              <w:rPr>
                <w:lang w:val="en-US"/>
              </w:rPr>
            </w:pPr>
            <w:r>
              <w:rPr>
                <w:lang w:val="en-US"/>
              </w:rPr>
              <w:t>RF Test</w:t>
            </w:r>
          </w:p>
        </w:tc>
        <w:tc>
          <w:tcPr>
            <w:tcW w:w="3035" w:type="dxa"/>
          </w:tcPr>
          <w:p w:rsidR="00167DDF" w:rsidRPr="00D23B11" w:rsidRDefault="00167DDF" w:rsidP="00BD76ED">
            <w:pPr>
              <w:pStyle w:val="ESS-TableText"/>
              <w:rPr>
                <w:lang w:val="en-US"/>
              </w:rPr>
            </w:pPr>
            <w:r>
              <w:rPr>
                <w:lang w:val="en-US"/>
              </w:rPr>
              <w:t>To perform an initial RF test with a longer pulse</w:t>
            </w:r>
          </w:p>
        </w:tc>
      </w:tr>
      <w:tr w:rsidR="00167DDF" w:rsidRPr="00D23B11" w:rsidTr="00D55335">
        <w:trPr>
          <w:cantSplit/>
          <w:jc w:val="center"/>
        </w:trPr>
        <w:tc>
          <w:tcPr>
            <w:tcW w:w="1785" w:type="dxa"/>
            <w:shd w:val="clear" w:color="auto" w:fill="A6A6A6" w:themeFill="background1" w:themeFillShade="A6"/>
            <w:vAlign w:val="center"/>
          </w:tcPr>
          <w:p w:rsidR="00167DDF" w:rsidRDefault="00CA468C" w:rsidP="00AB0C1F">
            <w:pPr>
              <w:pStyle w:val="ESS-TableText"/>
              <w:jc w:val="center"/>
              <w:rPr>
                <w:lang w:val="en-US"/>
              </w:rPr>
            </w:pPr>
            <w:r>
              <w:rPr>
                <w:color w:val="000000" w:themeColor="text1"/>
                <w:lang w:val="en-US"/>
              </w:rPr>
              <w:t>Not in previous document</w:t>
            </w:r>
          </w:p>
        </w:tc>
        <w:tc>
          <w:tcPr>
            <w:tcW w:w="2003" w:type="dxa"/>
            <w:vAlign w:val="center"/>
          </w:tcPr>
          <w:p w:rsidR="00167DDF" w:rsidRDefault="00D55335" w:rsidP="00BD76ED">
            <w:pPr>
              <w:pStyle w:val="ESS-TableText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229" w:type="dxa"/>
            <w:noWrap/>
          </w:tcPr>
          <w:p w:rsidR="00167DDF" w:rsidRPr="00D23B11" w:rsidRDefault="00167DDF" w:rsidP="00BD76ED">
            <w:pPr>
              <w:pStyle w:val="ESS-TableText"/>
              <w:rPr>
                <w:lang w:val="en-US"/>
              </w:rPr>
            </w:pPr>
            <w:r>
              <w:rPr>
                <w:lang w:val="en-US"/>
              </w:rPr>
              <w:t>Stability Test</w:t>
            </w:r>
          </w:p>
        </w:tc>
        <w:tc>
          <w:tcPr>
            <w:tcW w:w="3035" w:type="dxa"/>
          </w:tcPr>
          <w:p w:rsidR="00167DDF" w:rsidRPr="00D23B11" w:rsidRDefault="00167DDF" w:rsidP="00BD76ED">
            <w:pPr>
              <w:pStyle w:val="ESS-TableText"/>
              <w:rPr>
                <w:lang w:val="en-US"/>
              </w:rPr>
            </w:pPr>
            <w:r>
              <w:rPr>
                <w:lang w:val="en-US"/>
              </w:rPr>
              <w:t>To be used mostly for beam stability test</w:t>
            </w:r>
          </w:p>
        </w:tc>
      </w:tr>
      <w:tr w:rsidR="00167DDF" w:rsidRPr="00D23B11" w:rsidTr="00D55335">
        <w:trPr>
          <w:cantSplit/>
          <w:jc w:val="center"/>
        </w:trPr>
        <w:tc>
          <w:tcPr>
            <w:tcW w:w="1785" w:type="dxa"/>
            <w:shd w:val="clear" w:color="auto" w:fill="A6A6A6" w:themeFill="background1" w:themeFillShade="A6"/>
            <w:vAlign w:val="center"/>
          </w:tcPr>
          <w:p w:rsidR="00167DDF" w:rsidRDefault="00CA468C" w:rsidP="00AB0C1F">
            <w:pPr>
              <w:pStyle w:val="ESS-TableText"/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2003" w:type="dxa"/>
            <w:vAlign w:val="center"/>
          </w:tcPr>
          <w:p w:rsidR="00167DDF" w:rsidRDefault="00D55335" w:rsidP="00BD76ED">
            <w:pPr>
              <w:pStyle w:val="ESS-TableText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229" w:type="dxa"/>
            <w:noWrap/>
          </w:tcPr>
          <w:p w:rsidR="00167DDF" w:rsidRPr="00D23B11" w:rsidRDefault="00167DDF" w:rsidP="00BD76ED">
            <w:pPr>
              <w:pStyle w:val="ESS-TableText"/>
              <w:rPr>
                <w:lang w:val="en-US"/>
              </w:rPr>
            </w:pPr>
            <w:r>
              <w:rPr>
                <w:lang w:val="en-US"/>
              </w:rPr>
              <w:t>Slow Commissioning</w:t>
            </w:r>
          </w:p>
        </w:tc>
        <w:tc>
          <w:tcPr>
            <w:tcW w:w="3035" w:type="dxa"/>
          </w:tcPr>
          <w:p w:rsidR="00167DDF" w:rsidRPr="00D23B11" w:rsidRDefault="00167DDF" w:rsidP="00BD76ED">
            <w:pPr>
              <w:pStyle w:val="ESS-TableText"/>
              <w:rPr>
                <w:lang w:val="en-US"/>
              </w:rPr>
            </w:pPr>
            <w:r w:rsidRPr="001F4A8E">
              <w:rPr>
                <w:lang w:val="en-US"/>
              </w:rPr>
              <w:t xml:space="preserve">Very short pulse </w:t>
            </w:r>
            <w:r>
              <w:rPr>
                <w:lang w:val="en-US"/>
              </w:rPr>
              <w:t xml:space="preserve">planned to be used </w:t>
            </w:r>
            <w:proofErr w:type="spellStart"/>
            <w:r w:rsidRPr="001F4A8E">
              <w:rPr>
                <w:lang w:val="en-US"/>
              </w:rPr>
              <w:t>used</w:t>
            </w:r>
            <w:proofErr w:type="spellEnd"/>
            <w:r w:rsidRPr="001F4A8E">
              <w:rPr>
                <w:lang w:val="en-US"/>
              </w:rPr>
              <w:t xml:space="preserve"> during Normal Conducting Linac commissioning. It would allow installation of the rest of the Linac in parallel to Beam Commissioning. </w:t>
            </w:r>
          </w:p>
        </w:tc>
      </w:tr>
      <w:tr w:rsidR="00167DDF" w:rsidRPr="00D23B11" w:rsidTr="00D55335">
        <w:trPr>
          <w:cantSplit/>
          <w:jc w:val="center"/>
        </w:trPr>
        <w:tc>
          <w:tcPr>
            <w:tcW w:w="1785" w:type="dxa"/>
            <w:shd w:val="clear" w:color="auto" w:fill="A6A6A6" w:themeFill="background1" w:themeFillShade="A6"/>
            <w:vAlign w:val="center"/>
          </w:tcPr>
          <w:p w:rsidR="00167DDF" w:rsidRPr="00D23B11" w:rsidRDefault="00AB0C1F" w:rsidP="00AB0C1F">
            <w:pPr>
              <w:pStyle w:val="ESS-TableText"/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2003" w:type="dxa"/>
            <w:vAlign w:val="center"/>
          </w:tcPr>
          <w:p w:rsidR="00167DDF" w:rsidRPr="00D23B11" w:rsidRDefault="00D55335" w:rsidP="00BD76ED">
            <w:pPr>
              <w:pStyle w:val="ESS-TableText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229" w:type="dxa"/>
            <w:noWrap/>
            <w:hideMark/>
          </w:tcPr>
          <w:p w:rsidR="00167DDF" w:rsidRPr="00D23B11" w:rsidRDefault="00167DDF" w:rsidP="00BD76ED">
            <w:pPr>
              <w:pStyle w:val="ESS-TableText"/>
              <w:rPr>
                <w:lang w:val="en-US"/>
              </w:rPr>
            </w:pPr>
            <w:r w:rsidRPr="00D23B11">
              <w:rPr>
                <w:lang w:val="en-US"/>
              </w:rPr>
              <w:t>Fast tuning</w:t>
            </w:r>
          </w:p>
        </w:tc>
        <w:tc>
          <w:tcPr>
            <w:tcW w:w="3035" w:type="dxa"/>
            <w:hideMark/>
          </w:tcPr>
          <w:p w:rsidR="00167DDF" w:rsidRPr="00D23B11" w:rsidRDefault="00167DDF" w:rsidP="00BD76ED">
            <w:pPr>
              <w:pStyle w:val="ESS-TableText"/>
              <w:rPr>
                <w:lang w:val="en-US"/>
              </w:rPr>
            </w:pPr>
            <w:r w:rsidRPr="00D23B11">
              <w:rPr>
                <w:lang w:val="en-US"/>
              </w:rPr>
              <w:t xml:space="preserve">Limited beam loading; used for fast scans to rapidly determine/verify RF </w:t>
            </w:r>
            <w:proofErr w:type="spellStart"/>
            <w:r w:rsidRPr="00D23B11">
              <w:rPr>
                <w:lang w:val="en-US"/>
              </w:rPr>
              <w:t>setpoints</w:t>
            </w:r>
            <w:proofErr w:type="spellEnd"/>
            <w:r w:rsidRPr="00D23B11">
              <w:rPr>
                <w:lang w:val="en-US"/>
              </w:rPr>
              <w:t xml:space="preserve"> and measure beam profiles with wire scanners.</w:t>
            </w:r>
          </w:p>
        </w:tc>
      </w:tr>
      <w:tr w:rsidR="00167DDF" w:rsidRPr="00D23B11" w:rsidTr="00D55335">
        <w:trPr>
          <w:cantSplit/>
          <w:jc w:val="center"/>
        </w:trPr>
        <w:tc>
          <w:tcPr>
            <w:tcW w:w="1785" w:type="dxa"/>
            <w:shd w:val="clear" w:color="auto" w:fill="A6A6A6" w:themeFill="background1" w:themeFillShade="A6"/>
            <w:vAlign w:val="center"/>
          </w:tcPr>
          <w:p w:rsidR="00167DDF" w:rsidRPr="00D23B11" w:rsidRDefault="00AB0C1F" w:rsidP="00AB0C1F">
            <w:pPr>
              <w:pStyle w:val="ESS-TableText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2003" w:type="dxa"/>
            <w:vAlign w:val="center"/>
          </w:tcPr>
          <w:p w:rsidR="00167DDF" w:rsidRPr="00D23B11" w:rsidRDefault="00D55335" w:rsidP="00BD76ED">
            <w:pPr>
              <w:pStyle w:val="ESS-TableText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229" w:type="dxa"/>
            <w:noWrap/>
            <w:hideMark/>
          </w:tcPr>
          <w:p w:rsidR="00167DDF" w:rsidRPr="00D23B11" w:rsidRDefault="00167DDF" w:rsidP="00BD76ED">
            <w:pPr>
              <w:pStyle w:val="ESS-TableText"/>
              <w:rPr>
                <w:lang w:val="en-US"/>
              </w:rPr>
            </w:pPr>
            <w:r w:rsidRPr="00D23B11">
              <w:rPr>
                <w:lang w:val="en-US"/>
              </w:rPr>
              <w:t>Slow tuning</w:t>
            </w:r>
          </w:p>
        </w:tc>
        <w:tc>
          <w:tcPr>
            <w:tcW w:w="3035" w:type="dxa"/>
            <w:hideMark/>
          </w:tcPr>
          <w:p w:rsidR="00167DDF" w:rsidRPr="00D23B11" w:rsidRDefault="00167DDF" w:rsidP="00BD76ED">
            <w:pPr>
              <w:pStyle w:val="ESS-TableText"/>
              <w:rPr>
                <w:lang w:val="en-US"/>
              </w:rPr>
            </w:pPr>
            <w:r>
              <w:rPr>
                <w:lang w:val="en-US"/>
              </w:rPr>
              <w:t xml:space="preserve">Largest charge per pulse </w:t>
            </w:r>
            <w:r w:rsidRPr="00D23B11">
              <w:rPr>
                <w:lang w:val="en-US"/>
              </w:rPr>
              <w:t>that allow operation of invasive proton beam instrumentation devices like wire scanners; long enough beam pulses to diagnose and monitor RF feedback and the onset of beam loading; used to perform more precise single-pulse measurements</w:t>
            </w:r>
          </w:p>
        </w:tc>
      </w:tr>
      <w:tr w:rsidR="00167DDF" w:rsidRPr="00D23B11" w:rsidTr="00D55335">
        <w:trPr>
          <w:cantSplit/>
          <w:jc w:val="center"/>
        </w:trPr>
        <w:tc>
          <w:tcPr>
            <w:tcW w:w="1785" w:type="dxa"/>
            <w:shd w:val="clear" w:color="auto" w:fill="A6A6A6" w:themeFill="background1" w:themeFillShade="A6"/>
            <w:vAlign w:val="center"/>
          </w:tcPr>
          <w:p w:rsidR="00167DDF" w:rsidRPr="00D23B11" w:rsidRDefault="00AB0C1F" w:rsidP="00AB0C1F">
            <w:pPr>
              <w:pStyle w:val="ESS-TableText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40</w:t>
            </w:r>
          </w:p>
        </w:tc>
        <w:tc>
          <w:tcPr>
            <w:tcW w:w="2003" w:type="dxa"/>
            <w:vAlign w:val="center"/>
          </w:tcPr>
          <w:p w:rsidR="00167DDF" w:rsidRPr="00D23B11" w:rsidRDefault="00D55335" w:rsidP="00BD76ED">
            <w:pPr>
              <w:pStyle w:val="ESS-TableText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229" w:type="dxa"/>
            <w:noWrap/>
          </w:tcPr>
          <w:p w:rsidR="00167DDF" w:rsidRPr="00D23B11" w:rsidRDefault="00167DDF" w:rsidP="00BD76ED">
            <w:pPr>
              <w:pStyle w:val="ESS-TableText"/>
              <w:rPr>
                <w:lang w:val="en-US"/>
              </w:rPr>
            </w:pPr>
            <w:r w:rsidRPr="00D23B11">
              <w:rPr>
                <w:lang w:val="en-US"/>
              </w:rPr>
              <w:t>Long pulse verification</w:t>
            </w:r>
          </w:p>
        </w:tc>
        <w:tc>
          <w:tcPr>
            <w:tcW w:w="3035" w:type="dxa"/>
          </w:tcPr>
          <w:p w:rsidR="00167DDF" w:rsidRDefault="00167DDF" w:rsidP="00BD76ED">
            <w:pPr>
              <w:pStyle w:val="ESS-TableText"/>
              <w:rPr>
                <w:lang w:val="en-US"/>
              </w:rPr>
            </w:pPr>
            <w:r>
              <w:rPr>
                <w:lang w:val="en-US"/>
              </w:rPr>
              <w:t>O</w:t>
            </w:r>
            <w:r w:rsidRPr="00D23B11">
              <w:rPr>
                <w:lang w:val="en-US"/>
              </w:rPr>
              <w:t>nly used when machine reasonably tuned to the tuning dump or the target; slowly-increasing pulse lengths are used to tune RF feedforward, verify beam loading and Lorentz force detuning compensation, and tune for low beam losses.</w:t>
            </w:r>
            <w:r>
              <w:rPr>
                <w:lang w:val="en-US"/>
              </w:rPr>
              <w:t xml:space="preserve"> I</w:t>
            </w:r>
            <w:r>
              <w:t>intermediate short pulses at 1Hz could be supplied to monitor stability between long pulses.</w:t>
            </w:r>
            <w:r>
              <w:rPr>
                <w:rStyle w:val="FootnoteReference"/>
              </w:rPr>
              <w:footnoteReference w:id="1"/>
            </w:r>
          </w:p>
        </w:tc>
      </w:tr>
      <w:tr w:rsidR="00167DDF" w:rsidRPr="00D23B11" w:rsidTr="00D55335">
        <w:trPr>
          <w:cantSplit/>
          <w:jc w:val="center"/>
        </w:trPr>
        <w:tc>
          <w:tcPr>
            <w:tcW w:w="1785" w:type="dxa"/>
            <w:shd w:val="clear" w:color="auto" w:fill="A6A6A6" w:themeFill="background1" w:themeFillShade="A6"/>
            <w:vAlign w:val="center"/>
          </w:tcPr>
          <w:p w:rsidR="00167DDF" w:rsidRPr="00D23B11" w:rsidRDefault="00AB0C1F" w:rsidP="00AB0C1F">
            <w:pPr>
              <w:pStyle w:val="ESS-TableText"/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2003" w:type="dxa"/>
            <w:vAlign w:val="center"/>
          </w:tcPr>
          <w:p w:rsidR="00167DDF" w:rsidRPr="00D23B11" w:rsidRDefault="00D55335" w:rsidP="00BD76ED">
            <w:pPr>
              <w:pStyle w:val="ESS-TableText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229" w:type="dxa"/>
            <w:noWrap/>
            <w:hideMark/>
          </w:tcPr>
          <w:p w:rsidR="00167DDF" w:rsidRPr="00D23B11" w:rsidRDefault="00167DDF" w:rsidP="00BD76ED">
            <w:pPr>
              <w:pStyle w:val="ESS-TableText"/>
              <w:rPr>
                <w:lang w:val="en-US"/>
              </w:rPr>
            </w:pPr>
            <w:r w:rsidRPr="00D23B11">
              <w:rPr>
                <w:lang w:val="en-US"/>
              </w:rPr>
              <w:t>Shielding verification</w:t>
            </w:r>
          </w:p>
        </w:tc>
        <w:tc>
          <w:tcPr>
            <w:tcW w:w="3035" w:type="dxa"/>
            <w:hideMark/>
          </w:tcPr>
          <w:p w:rsidR="00167DDF" w:rsidRPr="00D23B11" w:rsidRDefault="00167DDF" w:rsidP="00BD76ED">
            <w:pPr>
              <w:pStyle w:val="ESS-TableText"/>
              <w:rPr>
                <w:lang w:val="en-US"/>
              </w:rPr>
            </w:pPr>
            <w:r>
              <w:rPr>
                <w:lang w:val="en-US"/>
              </w:rPr>
              <w:t>To be defined better once the exact requirements for the shielding verification (power, pulse length) are known</w:t>
            </w:r>
          </w:p>
        </w:tc>
      </w:tr>
      <w:tr w:rsidR="00167DDF" w:rsidRPr="00D23B11" w:rsidTr="00D55335">
        <w:trPr>
          <w:cantSplit/>
          <w:jc w:val="center"/>
        </w:trPr>
        <w:tc>
          <w:tcPr>
            <w:tcW w:w="1785" w:type="dxa"/>
            <w:shd w:val="clear" w:color="auto" w:fill="A6A6A6" w:themeFill="background1" w:themeFillShade="A6"/>
            <w:vAlign w:val="center"/>
          </w:tcPr>
          <w:p w:rsidR="00167DDF" w:rsidRPr="00D23B11" w:rsidRDefault="00AB0C1F" w:rsidP="00AB0C1F">
            <w:pPr>
              <w:pStyle w:val="ESS-TableText"/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2003" w:type="dxa"/>
            <w:vAlign w:val="center"/>
          </w:tcPr>
          <w:p w:rsidR="00167DDF" w:rsidRPr="00D23B11" w:rsidRDefault="00D55335" w:rsidP="00BD76ED">
            <w:pPr>
              <w:pStyle w:val="ESS-TableText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2229" w:type="dxa"/>
            <w:noWrap/>
            <w:hideMark/>
          </w:tcPr>
          <w:p w:rsidR="00167DDF" w:rsidRPr="00D23B11" w:rsidRDefault="00167DDF" w:rsidP="00BD76ED">
            <w:pPr>
              <w:pStyle w:val="ESS-TableText"/>
              <w:rPr>
                <w:lang w:val="en-US"/>
              </w:rPr>
            </w:pPr>
            <w:r w:rsidRPr="00D23B11">
              <w:rPr>
                <w:lang w:val="en-US"/>
              </w:rPr>
              <w:t>Production</w:t>
            </w:r>
          </w:p>
        </w:tc>
        <w:tc>
          <w:tcPr>
            <w:tcW w:w="3035" w:type="dxa"/>
            <w:hideMark/>
          </w:tcPr>
          <w:p w:rsidR="00167DDF" w:rsidRPr="00D23B11" w:rsidRDefault="00167DDF" w:rsidP="00BD76ED">
            <w:pPr>
              <w:pStyle w:val="ESS-TableText"/>
              <w:rPr>
                <w:lang w:val="en-US"/>
              </w:rPr>
            </w:pPr>
            <w:r>
              <w:rPr>
                <w:lang w:val="en-US"/>
              </w:rPr>
              <w:t>Normal mode for NSS experiments during operation.</w:t>
            </w:r>
          </w:p>
        </w:tc>
      </w:tr>
    </w:tbl>
    <w:p w:rsidR="00167DDF" w:rsidRDefault="00167DDF" w:rsidP="00167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IE" w:eastAsia="en-IE"/>
        </w:rPr>
      </w:pPr>
      <w:r w:rsidRPr="00167DDF">
        <w:rPr>
          <w:rFonts w:ascii="Courier New" w:eastAsia="Times New Roman" w:hAnsi="Courier New" w:cs="Courier New"/>
          <w:sz w:val="20"/>
          <w:szCs w:val="20"/>
          <w:lang w:val="en-IE" w:eastAsia="en-IE"/>
        </w:rPr>
        <w:t xml:space="preserve"> </w:t>
      </w:r>
    </w:p>
    <w:p w:rsidR="00167DDF" w:rsidRDefault="00167DDF" w:rsidP="00167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IE" w:eastAsia="en-IE"/>
        </w:rPr>
      </w:pPr>
    </w:p>
    <w:p w:rsidR="00A518D2" w:rsidRDefault="005566A4">
      <w:r w:rsidRPr="005566A4">
        <w:t xml:space="preserve">Destinations </w:t>
      </w:r>
      <w:r>
        <w:t xml:space="preserve">from updated </w:t>
      </w:r>
      <w:r>
        <w:fldChar w:fldCharType="begin"/>
      </w:r>
      <w:r>
        <w:instrText xml:space="preserve"> DOCPROPERTY "MXName"  \* MERGEFORMAT </w:instrText>
      </w:r>
      <w:r>
        <w:fldChar w:fldCharType="separate"/>
      </w:r>
      <w:r>
        <w:t>ESS-0038258</w:t>
      </w:r>
      <w:r>
        <w:fldChar w:fldCharType="end"/>
      </w:r>
      <w:r>
        <w:t xml:space="preserve"> </w:t>
      </w:r>
      <w:r w:rsidRPr="00C2157C">
        <w:rPr>
          <w:lang w:val="en-US"/>
        </w:rPr>
        <w:fldChar w:fldCharType="begin"/>
      </w:r>
      <w:r w:rsidRPr="00C2157C">
        <w:rPr>
          <w:lang w:val="en-US"/>
        </w:rPr>
        <w:instrText xml:space="preserve"> DOCPROPERTY "MXTitle"  \* MERGEFORMAT </w:instrText>
      </w:r>
      <w:r w:rsidRPr="00C2157C">
        <w:rPr>
          <w:lang w:val="en-US"/>
        </w:rPr>
        <w:fldChar w:fldCharType="separate"/>
      </w:r>
      <w:r w:rsidRPr="00C2157C">
        <w:rPr>
          <w:lang w:val="en-US"/>
        </w:rPr>
        <w:t>Description of Modes for ESS Accelerator Operation</w:t>
      </w:r>
      <w:r w:rsidRPr="00C2157C">
        <w:fldChar w:fldCharType="end"/>
      </w:r>
      <w:r>
        <w:t xml:space="preserve"> Rev 5</w:t>
      </w:r>
    </w:p>
    <w:tbl>
      <w:tblPr>
        <w:tblStyle w:val="LightGrid-Accent5"/>
        <w:tblW w:w="0" w:type="auto"/>
        <w:jc w:val="center"/>
        <w:tblLook w:val="0620" w:firstRow="1" w:lastRow="0" w:firstColumn="0" w:lastColumn="0" w:noHBand="1" w:noVBand="1"/>
      </w:tblPr>
      <w:tblGrid>
        <w:gridCol w:w="1214"/>
        <w:gridCol w:w="1103"/>
        <w:gridCol w:w="1355"/>
        <w:gridCol w:w="2799"/>
        <w:gridCol w:w="2581"/>
      </w:tblGrid>
      <w:tr w:rsidR="00A518D2" w:rsidRPr="00D23B11" w:rsidTr="005566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1214" w:type="dxa"/>
          </w:tcPr>
          <w:p w:rsidR="00A518D2" w:rsidRPr="00D23B11" w:rsidRDefault="00A518D2" w:rsidP="00BD76E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Old Key as per previous revision</w:t>
            </w:r>
          </w:p>
        </w:tc>
        <w:tc>
          <w:tcPr>
            <w:tcW w:w="1103" w:type="dxa"/>
          </w:tcPr>
          <w:p w:rsidR="00A518D2" w:rsidRPr="00D23B11" w:rsidRDefault="00A518D2" w:rsidP="00BD76E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New Key as per </w:t>
            </w:r>
            <w:proofErr w:type="spellStart"/>
            <w:r>
              <w:rPr>
                <w:lang w:val="en-US"/>
              </w:rPr>
              <w:t>Gitlab</w:t>
            </w:r>
            <w:proofErr w:type="spellEnd"/>
            <w:r>
              <w:rPr>
                <w:lang w:val="en-US"/>
              </w:rPr>
              <w:t xml:space="preserve"> file</w:t>
            </w:r>
          </w:p>
        </w:tc>
        <w:tc>
          <w:tcPr>
            <w:tcW w:w="1355" w:type="dxa"/>
          </w:tcPr>
          <w:p w:rsidR="00A518D2" w:rsidRPr="00D23B11" w:rsidRDefault="00A518D2" w:rsidP="00BD76ED">
            <w:pPr>
              <w:spacing w:after="0" w:line="240" w:lineRule="auto"/>
              <w:jc w:val="center"/>
              <w:rPr>
                <w:b w:val="0"/>
                <w:bCs w:val="0"/>
                <w:i/>
                <w:iCs/>
                <w:color w:val="404040" w:themeColor="text1" w:themeTint="BF"/>
                <w:szCs w:val="20"/>
                <w:lang w:val="en-US"/>
              </w:rPr>
            </w:pPr>
            <w:r w:rsidRPr="00D23B11">
              <w:rPr>
                <w:lang w:val="en-US"/>
              </w:rPr>
              <w:t>Name</w:t>
            </w:r>
          </w:p>
        </w:tc>
        <w:tc>
          <w:tcPr>
            <w:tcW w:w="2799" w:type="dxa"/>
          </w:tcPr>
          <w:p w:rsidR="00A518D2" w:rsidRPr="00D23B11" w:rsidRDefault="00A518D2" w:rsidP="00BD76E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Type</w:t>
            </w:r>
          </w:p>
        </w:tc>
        <w:tc>
          <w:tcPr>
            <w:tcW w:w="2581" w:type="dxa"/>
          </w:tcPr>
          <w:p w:rsidR="00A518D2" w:rsidRPr="00D23B11" w:rsidRDefault="00A518D2" w:rsidP="00BD76ED">
            <w:pPr>
              <w:spacing w:after="0" w:line="240" w:lineRule="auto"/>
              <w:jc w:val="center"/>
              <w:rPr>
                <w:rFonts w:eastAsiaTheme="minorHAnsi" w:cstheme="minorBidi"/>
                <w:b w:val="0"/>
                <w:bCs w:val="0"/>
                <w:lang w:val="en-US"/>
              </w:rPr>
            </w:pPr>
            <w:r w:rsidRPr="00D23B11">
              <w:rPr>
                <w:lang w:val="en-US"/>
              </w:rPr>
              <w:t>Limits</w:t>
            </w:r>
          </w:p>
        </w:tc>
      </w:tr>
      <w:tr w:rsidR="00A518D2" w:rsidRPr="00E952CB" w:rsidTr="005566A4">
        <w:trPr>
          <w:jc w:val="center"/>
        </w:trPr>
        <w:tc>
          <w:tcPr>
            <w:tcW w:w="1214" w:type="dxa"/>
            <w:shd w:val="clear" w:color="auto" w:fill="A6A6A6" w:themeFill="background1" w:themeFillShade="A6"/>
          </w:tcPr>
          <w:p w:rsidR="00A518D2" w:rsidRPr="00E952CB" w:rsidRDefault="00A518D2" w:rsidP="00A518D2">
            <w:pPr>
              <w:spacing w:after="0" w:line="240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5</w:t>
            </w:r>
          </w:p>
        </w:tc>
        <w:tc>
          <w:tcPr>
            <w:tcW w:w="1103" w:type="dxa"/>
          </w:tcPr>
          <w:p w:rsidR="00A518D2" w:rsidRPr="00E952CB" w:rsidRDefault="00A518D2" w:rsidP="00A518D2">
            <w:pPr>
              <w:spacing w:after="0" w:line="240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</w:t>
            </w:r>
          </w:p>
        </w:tc>
        <w:tc>
          <w:tcPr>
            <w:tcW w:w="1355" w:type="dxa"/>
          </w:tcPr>
          <w:p w:rsidR="00A518D2" w:rsidRPr="00E952CB" w:rsidRDefault="00A518D2" w:rsidP="00BD76ED">
            <w:pPr>
              <w:spacing w:after="0" w:line="240" w:lineRule="auto"/>
              <w:jc w:val="right"/>
              <w:rPr>
                <w:color w:val="000000" w:themeColor="text1"/>
                <w:lang w:val="en-US"/>
              </w:rPr>
            </w:pPr>
            <w:proofErr w:type="spellStart"/>
            <w:r w:rsidRPr="00E952CB">
              <w:rPr>
                <w:color w:val="000000" w:themeColor="text1"/>
                <w:lang w:val="en-US"/>
              </w:rPr>
              <w:t>ISrc</w:t>
            </w:r>
            <w:proofErr w:type="spellEnd"/>
          </w:p>
        </w:tc>
        <w:tc>
          <w:tcPr>
            <w:tcW w:w="2799" w:type="dxa"/>
          </w:tcPr>
          <w:p w:rsidR="00A518D2" w:rsidRPr="00E952CB" w:rsidRDefault="00A518D2" w:rsidP="00BD76ED">
            <w:pPr>
              <w:spacing w:after="0" w:line="240" w:lineRule="auto"/>
              <w:jc w:val="righ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Virtual destination for </w:t>
            </w:r>
            <w:r w:rsidRPr="00E952CB">
              <w:rPr>
                <w:color w:val="000000" w:themeColor="text1"/>
                <w:lang w:val="en-US"/>
              </w:rPr>
              <w:t>plasma conditioning</w:t>
            </w:r>
          </w:p>
        </w:tc>
        <w:tc>
          <w:tcPr>
            <w:tcW w:w="2581" w:type="dxa"/>
          </w:tcPr>
          <w:p w:rsidR="00A518D2" w:rsidRPr="00E952CB" w:rsidRDefault="00A518D2" w:rsidP="00BD76ED">
            <w:pPr>
              <w:spacing w:after="0" w:line="240" w:lineRule="auto"/>
              <w:jc w:val="right"/>
              <w:rPr>
                <w:color w:val="000000" w:themeColor="text1"/>
                <w:lang w:val="en-US"/>
              </w:rPr>
            </w:pPr>
            <w:r w:rsidRPr="00E952CB">
              <w:rPr>
                <w:color w:val="000000" w:themeColor="text1"/>
                <w:lang w:val="en-US"/>
              </w:rPr>
              <w:t>Only for conditioning mode/0/0/0</w:t>
            </w:r>
          </w:p>
        </w:tc>
      </w:tr>
      <w:tr w:rsidR="00A518D2" w:rsidRPr="00D23B11" w:rsidTr="005566A4">
        <w:trPr>
          <w:jc w:val="center"/>
        </w:trPr>
        <w:tc>
          <w:tcPr>
            <w:tcW w:w="1214" w:type="dxa"/>
            <w:shd w:val="clear" w:color="auto" w:fill="A6A6A6" w:themeFill="background1" w:themeFillShade="A6"/>
          </w:tcPr>
          <w:p w:rsidR="00A518D2" w:rsidRPr="00D23B11" w:rsidRDefault="00A518D2" w:rsidP="00A518D2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103" w:type="dxa"/>
          </w:tcPr>
          <w:p w:rsidR="00A518D2" w:rsidRPr="00D23B11" w:rsidRDefault="00A518D2" w:rsidP="00A518D2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355" w:type="dxa"/>
          </w:tcPr>
          <w:p w:rsidR="00A518D2" w:rsidRPr="00D23B11" w:rsidRDefault="00A518D2" w:rsidP="00BD76ED">
            <w:pPr>
              <w:spacing w:after="0" w:line="240" w:lineRule="auto"/>
              <w:jc w:val="right"/>
              <w:rPr>
                <w:lang w:val="en-US"/>
              </w:rPr>
            </w:pPr>
            <w:r w:rsidRPr="00D23B11">
              <w:rPr>
                <w:lang w:val="en-US"/>
              </w:rPr>
              <w:t>LEBT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2799" w:type="dxa"/>
          </w:tcPr>
          <w:p w:rsidR="00A518D2" w:rsidRDefault="00A518D2" w:rsidP="00BD76ED">
            <w:pPr>
              <w:spacing w:after="0" w:line="24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Faraday Cup</w:t>
            </w:r>
          </w:p>
        </w:tc>
        <w:tc>
          <w:tcPr>
            <w:tcW w:w="2581" w:type="dxa"/>
          </w:tcPr>
          <w:p w:rsidR="00A518D2" w:rsidRPr="00D23B11" w:rsidRDefault="00A518D2" w:rsidP="00BD76ED">
            <w:pPr>
              <w:spacing w:after="0" w:line="24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Full beam</w:t>
            </w:r>
          </w:p>
        </w:tc>
      </w:tr>
      <w:tr w:rsidR="00A518D2" w:rsidRPr="00D23B11" w:rsidTr="005566A4">
        <w:trPr>
          <w:jc w:val="center"/>
        </w:trPr>
        <w:tc>
          <w:tcPr>
            <w:tcW w:w="1214" w:type="dxa"/>
            <w:shd w:val="clear" w:color="auto" w:fill="A6A6A6" w:themeFill="background1" w:themeFillShade="A6"/>
          </w:tcPr>
          <w:p w:rsidR="00A518D2" w:rsidRPr="00D23B11" w:rsidRDefault="00A518D2" w:rsidP="00A518D2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103" w:type="dxa"/>
          </w:tcPr>
          <w:p w:rsidR="00A518D2" w:rsidRPr="00D23B11" w:rsidRDefault="00A518D2" w:rsidP="00A518D2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355" w:type="dxa"/>
          </w:tcPr>
          <w:p w:rsidR="00A518D2" w:rsidRPr="00D23B11" w:rsidRDefault="00A518D2" w:rsidP="00BD76ED">
            <w:pPr>
              <w:spacing w:after="0" w:line="240" w:lineRule="auto"/>
              <w:jc w:val="right"/>
              <w:rPr>
                <w:lang w:val="en-US"/>
              </w:rPr>
            </w:pPr>
            <w:r w:rsidRPr="00D23B11">
              <w:rPr>
                <w:lang w:val="en-US"/>
              </w:rPr>
              <w:t>MEBT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2799" w:type="dxa"/>
          </w:tcPr>
          <w:p w:rsidR="00A518D2" w:rsidRDefault="00A518D2" w:rsidP="00BD76ED">
            <w:pPr>
              <w:spacing w:after="0" w:line="24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Faraday Cup</w:t>
            </w:r>
          </w:p>
        </w:tc>
        <w:tc>
          <w:tcPr>
            <w:tcW w:w="2581" w:type="dxa"/>
          </w:tcPr>
          <w:p w:rsidR="00A518D2" w:rsidRPr="00D23B11" w:rsidRDefault="00A518D2" w:rsidP="00BD76ED">
            <w:pPr>
              <w:spacing w:after="0" w:line="24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 xml:space="preserve"> (1 Hz, 50 </w:t>
            </w:r>
            <w:r w:rsidRPr="006A375C">
              <w:rPr>
                <w:rFonts w:ascii="Symbol" w:hAnsi="Symbol"/>
                <w:lang w:val="en-US"/>
              </w:rPr>
              <w:t></w:t>
            </w:r>
            <w:r>
              <w:rPr>
                <w:lang w:val="en-US"/>
              </w:rPr>
              <w:t xml:space="preserve">s)/(14 Hz, 5 </w:t>
            </w:r>
            <w:r w:rsidRPr="006A375C">
              <w:rPr>
                <w:rFonts w:ascii="Symbol" w:hAnsi="Symbol"/>
                <w:lang w:val="en-US"/>
              </w:rPr>
              <w:t></w:t>
            </w:r>
            <w:r>
              <w:rPr>
                <w:lang w:val="en-US"/>
              </w:rPr>
              <w:t>s), 62.5 mA</w:t>
            </w:r>
          </w:p>
        </w:tc>
      </w:tr>
      <w:tr w:rsidR="00A518D2" w:rsidRPr="00D23B11" w:rsidTr="005566A4">
        <w:trPr>
          <w:jc w:val="center"/>
        </w:trPr>
        <w:tc>
          <w:tcPr>
            <w:tcW w:w="1214" w:type="dxa"/>
            <w:shd w:val="clear" w:color="auto" w:fill="A6A6A6" w:themeFill="background1" w:themeFillShade="A6"/>
          </w:tcPr>
          <w:p w:rsidR="00A518D2" w:rsidRPr="00D23B11" w:rsidRDefault="00A518D2" w:rsidP="00A518D2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1103" w:type="dxa"/>
          </w:tcPr>
          <w:p w:rsidR="00A518D2" w:rsidRPr="00D23B11" w:rsidRDefault="00A518D2" w:rsidP="00A518D2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355" w:type="dxa"/>
          </w:tcPr>
          <w:p w:rsidR="00A518D2" w:rsidRPr="00D23B11" w:rsidRDefault="00A518D2" w:rsidP="00BD76ED">
            <w:pPr>
              <w:spacing w:after="0" w:line="240" w:lineRule="auto"/>
              <w:jc w:val="right"/>
              <w:rPr>
                <w:lang w:val="en-US"/>
              </w:rPr>
            </w:pPr>
            <w:r w:rsidRPr="00D23B11">
              <w:rPr>
                <w:lang w:val="en-US"/>
              </w:rPr>
              <w:t>DTL</w:t>
            </w:r>
            <w:r>
              <w:rPr>
                <w:lang w:val="en-US"/>
              </w:rPr>
              <w:t>2</w:t>
            </w:r>
          </w:p>
        </w:tc>
        <w:tc>
          <w:tcPr>
            <w:tcW w:w="2799" w:type="dxa"/>
          </w:tcPr>
          <w:p w:rsidR="00A518D2" w:rsidRDefault="00A518D2" w:rsidP="00BD76ED">
            <w:pPr>
              <w:spacing w:after="0" w:line="24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Faraday Cup</w:t>
            </w:r>
          </w:p>
        </w:tc>
        <w:tc>
          <w:tcPr>
            <w:tcW w:w="2581" w:type="dxa"/>
          </w:tcPr>
          <w:p w:rsidR="00A518D2" w:rsidRPr="00D23B11" w:rsidRDefault="00A518D2" w:rsidP="00BD76ED">
            <w:pPr>
              <w:spacing w:after="0" w:line="24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 xml:space="preserve"> (1 Hz, 50 </w:t>
            </w:r>
            <w:r w:rsidRPr="006A375C">
              <w:rPr>
                <w:rFonts w:ascii="Symbol" w:hAnsi="Symbol"/>
                <w:lang w:val="en-US"/>
              </w:rPr>
              <w:t></w:t>
            </w:r>
            <w:r>
              <w:rPr>
                <w:lang w:val="en-US"/>
              </w:rPr>
              <w:t xml:space="preserve">s)/(14 Hz, 5 </w:t>
            </w:r>
            <w:r w:rsidRPr="006A375C">
              <w:rPr>
                <w:rFonts w:ascii="Symbol" w:hAnsi="Symbol"/>
                <w:lang w:val="en-US"/>
              </w:rPr>
              <w:t></w:t>
            </w:r>
            <w:r>
              <w:rPr>
                <w:lang w:val="en-US"/>
              </w:rPr>
              <w:t>s), 62.5 mA</w:t>
            </w:r>
          </w:p>
        </w:tc>
      </w:tr>
      <w:tr w:rsidR="00A518D2" w:rsidRPr="00D23B11" w:rsidTr="005566A4">
        <w:trPr>
          <w:jc w:val="center"/>
        </w:trPr>
        <w:tc>
          <w:tcPr>
            <w:tcW w:w="1214" w:type="dxa"/>
            <w:shd w:val="clear" w:color="auto" w:fill="A6A6A6" w:themeFill="background1" w:themeFillShade="A6"/>
          </w:tcPr>
          <w:p w:rsidR="00A518D2" w:rsidRPr="00D23B11" w:rsidRDefault="00A518D2" w:rsidP="00A518D2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  <w:tc>
          <w:tcPr>
            <w:tcW w:w="1103" w:type="dxa"/>
          </w:tcPr>
          <w:p w:rsidR="00A518D2" w:rsidRPr="00D23B11" w:rsidRDefault="00A518D2" w:rsidP="00A518D2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355" w:type="dxa"/>
          </w:tcPr>
          <w:p w:rsidR="00A518D2" w:rsidRPr="00D23B11" w:rsidRDefault="00A518D2" w:rsidP="00BD76ED">
            <w:pPr>
              <w:spacing w:after="0" w:line="240" w:lineRule="auto"/>
              <w:jc w:val="right"/>
              <w:rPr>
                <w:lang w:val="en-US"/>
              </w:rPr>
            </w:pPr>
            <w:r w:rsidRPr="00D23B11">
              <w:rPr>
                <w:lang w:val="en-US"/>
              </w:rPr>
              <w:t>DTL</w:t>
            </w:r>
            <w:r>
              <w:rPr>
                <w:lang w:val="en-US"/>
              </w:rPr>
              <w:t>4</w:t>
            </w:r>
          </w:p>
        </w:tc>
        <w:tc>
          <w:tcPr>
            <w:tcW w:w="2799" w:type="dxa"/>
          </w:tcPr>
          <w:p w:rsidR="00A518D2" w:rsidRDefault="00A518D2" w:rsidP="00BD76ED">
            <w:pPr>
              <w:spacing w:after="0" w:line="24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Faraday Cup</w:t>
            </w:r>
          </w:p>
        </w:tc>
        <w:tc>
          <w:tcPr>
            <w:tcW w:w="2581" w:type="dxa"/>
          </w:tcPr>
          <w:p w:rsidR="00A518D2" w:rsidRPr="00D23B11" w:rsidRDefault="00A518D2" w:rsidP="00BD76ED">
            <w:pPr>
              <w:spacing w:after="0" w:line="24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 xml:space="preserve"> (1 Hz, 50 </w:t>
            </w:r>
            <w:r w:rsidRPr="006A375C">
              <w:rPr>
                <w:rFonts w:ascii="Symbol" w:hAnsi="Symbol"/>
                <w:lang w:val="en-US"/>
              </w:rPr>
              <w:t></w:t>
            </w:r>
            <w:r>
              <w:rPr>
                <w:lang w:val="en-US"/>
              </w:rPr>
              <w:t xml:space="preserve">s)/(14 Hz, 5 </w:t>
            </w:r>
            <w:r w:rsidRPr="006A375C">
              <w:rPr>
                <w:rFonts w:ascii="Symbol" w:hAnsi="Symbol"/>
                <w:lang w:val="en-US"/>
              </w:rPr>
              <w:t></w:t>
            </w:r>
            <w:r>
              <w:rPr>
                <w:lang w:val="en-US"/>
              </w:rPr>
              <w:t>s), 62.5 mA</w:t>
            </w:r>
          </w:p>
        </w:tc>
      </w:tr>
      <w:tr w:rsidR="00A518D2" w:rsidRPr="00D23B11" w:rsidTr="005566A4">
        <w:trPr>
          <w:jc w:val="center"/>
        </w:trPr>
        <w:tc>
          <w:tcPr>
            <w:tcW w:w="1214" w:type="dxa"/>
            <w:shd w:val="clear" w:color="auto" w:fill="A6A6A6" w:themeFill="background1" w:themeFillShade="A6"/>
          </w:tcPr>
          <w:p w:rsidR="00A518D2" w:rsidRPr="00D23B11" w:rsidRDefault="00A518D2" w:rsidP="00A518D2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1103" w:type="dxa"/>
          </w:tcPr>
          <w:p w:rsidR="00A518D2" w:rsidRPr="00D23B11" w:rsidRDefault="00A518D2" w:rsidP="00A518D2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355" w:type="dxa"/>
          </w:tcPr>
          <w:p w:rsidR="00A518D2" w:rsidRPr="00D23B11" w:rsidRDefault="00A518D2" w:rsidP="00BD76ED">
            <w:pPr>
              <w:spacing w:after="0" w:line="240" w:lineRule="auto"/>
              <w:jc w:val="right"/>
              <w:rPr>
                <w:lang w:val="en-US"/>
              </w:rPr>
            </w:pPr>
            <w:r w:rsidRPr="00D23B11">
              <w:rPr>
                <w:lang w:val="en-US"/>
              </w:rPr>
              <w:t>Spokes</w:t>
            </w:r>
          </w:p>
        </w:tc>
        <w:tc>
          <w:tcPr>
            <w:tcW w:w="2799" w:type="dxa"/>
          </w:tcPr>
          <w:p w:rsidR="00A518D2" w:rsidRDefault="00A518D2" w:rsidP="00BD76ED">
            <w:pPr>
              <w:spacing w:after="0" w:line="24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Beam Stop</w:t>
            </w:r>
          </w:p>
        </w:tc>
        <w:tc>
          <w:tcPr>
            <w:tcW w:w="2581" w:type="dxa"/>
          </w:tcPr>
          <w:p w:rsidR="00A518D2" w:rsidRPr="00D23B11" w:rsidRDefault="00A518D2" w:rsidP="00BD76ED">
            <w:pPr>
              <w:spacing w:after="0" w:line="24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 xml:space="preserve"> To be defined</w:t>
            </w:r>
          </w:p>
        </w:tc>
      </w:tr>
      <w:tr w:rsidR="00A518D2" w:rsidRPr="00D23B11" w:rsidTr="005566A4">
        <w:trPr>
          <w:jc w:val="center"/>
        </w:trPr>
        <w:tc>
          <w:tcPr>
            <w:tcW w:w="1214" w:type="dxa"/>
            <w:shd w:val="clear" w:color="auto" w:fill="A6A6A6" w:themeFill="background1" w:themeFillShade="A6"/>
          </w:tcPr>
          <w:p w:rsidR="00A518D2" w:rsidRPr="00D23B11" w:rsidRDefault="00A518D2" w:rsidP="00A518D2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1103" w:type="dxa"/>
          </w:tcPr>
          <w:p w:rsidR="00A518D2" w:rsidRPr="00D23B11" w:rsidRDefault="00A518D2" w:rsidP="00A518D2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355" w:type="dxa"/>
          </w:tcPr>
          <w:p w:rsidR="00A518D2" w:rsidRPr="00D23B11" w:rsidRDefault="00A518D2" w:rsidP="00BD76ED">
            <w:pPr>
              <w:spacing w:after="0" w:line="240" w:lineRule="auto"/>
              <w:jc w:val="right"/>
              <w:rPr>
                <w:lang w:val="en-US"/>
              </w:rPr>
            </w:pPr>
            <w:r w:rsidRPr="00D23B11">
              <w:rPr>
                <w:lang w:val="en-US"/>
              </w:rPr>
              <w:t>MBL</w:t>
            </w:r>
          </w:p>
        </w:tc>
        <w:tc>
          <w:tcPr>
            <w:tcW w:w="2799" w:type="dxa"/>
          </w:tcPr>
          <w:p w:rsidR="00A518D2" w:rsidRDefault="00A518D2" w:rsidP="00BD76ED">
            <w:pPr>
              <w:spacing w:after="0" w:line="24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Beam Stop</w:t>
            </w:r>
          </w:p>
        </w:tc>
        <w:tc>
          <w:tcPr>
            <w:tcW w:w="2581" w:type="dxa"/>
          </w:tcPr>
          <w:p w:rsidR="00A518D2" w:rsidRPr="00D23B11" w:rsidRDefault="00A518D2" w:rsidP="00BD76ED">
            <w:pPr>
              <w:spacing w:after="0" w:line="24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 xml:space="preserve"> To be defined</w:t>
            </w:r>
          </w:p>
        </w:tc>
      </w:tr>
      <w:tr w:rsidR="00A518D2" w:rsidRPr="00D23B11" w:rsidTr="005566A4">
        <w:trPr>
          <w:jc w:val="center"/>
        </w:trPr>
        <w:tc>
          <w:tcPr>
            <w:tcW w:w="1214" w:type="dxa"/>
            <w:shd w:val="clear" w:color="auto" w:fill="A6A6A6" w:themeFill="background1" w:themeFillShade="A6"/>
          </w:tcPr>
          <w:p w:rsidR="00A518D2" w:rsidRDefault="00A518D2" w:rsidP="00A518D2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70</w:t>
            </w:r>
          </w:p>
        </w:tc>
        <w:tc>
          <w:tcPr>
            <w:tcW w:w="1103" w:type="dxa"/>
          </w:tcPr>
          <w:p w:rsidR="00A518D2" w:rsidRDefault="00A518D2" w:rsidP="00A518D2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355" w:type="dxa"/>
          </w:tcPr>
          <w:p w:rsidR="00A518D2" w:rsidRPr="00D23B11" w:rsidRDefault="00A518D2" w:rsidP="00BD76ED">
            <w:pPr>
              <w:spacing w:after="0" w:line="24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 xml:space="preserve">Tuning </w:t>
            </w:r>
            <w:r w:rsidRPr="00D23B11">
              <w:rPr>
                <w:lang w:val="en-US"/>
              </w:rPr>
              <w:t>Dump</w:t>
            </w:r>
          </w:p>
        </w:tc>
        <w:tc>
          <w:tcPr>
            <w:tcW w:w="2799" w:type="dxa"/>
          </w:tcPr>
          <w:p w:rsidR="00A518D2" w:rsidRDefault="00A518D2" w:rsidP="00BD76ED">
            <w:pPr>
              <w:spacing w:after="0" w:line="24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Dump</w:t>
            </w:r>
          </w:p>
        </w:tc>
        <w:tc>
          <w:tcPr>
            <w:tcW w:w="2581" w:type="dxa"/>
          </w:tcPr>
          <w:p w:rsidR="00A518D2" w:rsidRPr="00D23B11" w:rsidRDefault="00A518D2" w:rsidP="00BD76ED">
            <w:pPr>
              <w:spacing w:after="0" w:line="24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12 kW</w:t>
            </w:r>
          </w:p>
        </w:tc>
      </w:tr>
      <w:tr w:rsidR="00A518D2" w:rsidRPr="00D23B11" w:rsidTr="005566A4">
        <w:trPr>
          <w:jc w:val="center"/>
        </w:trPr>
        <w:tc>
          <w:tcPr>
            <w:tcW w:w="1214" w:type="dxa"/>
            <w:shd w:val="clear" w:color="auto" w:fill="A6A6A6" w:themeFill="background1" w:themeFillShade="A6"/>
          </w:tcPr>
          <w:p w:rsidR="00A518D2" w:rsidRPr="00D23B11" w:rsidRDefault="00A518D2" w:rsidP="00A518D2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1103" w:type="dxa"/>
          </w:tcPr>
          <w:p w:rsidR="00A518D2" w:rsidRPr="00D23B11" w:rsidRDefault="00A518D2" w:rsidP="00A518D2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355" w:type="dxa"/>
          </w:tcPr>
          <w:p w:rsidR="00A518D2" w:rsidRPr="00D23B11" w:rsidRDefault="00A518D2" w:rsidP="00BD76ED">
            <w:pPr>
              <w:spacing w:after="0" w:line="240" w:lineRule="auto"/>
              <w:jc w:val="right"/>
              <w:rPr>
                <w:lang w:val="en-US"/>
              </w:rPr>
            </w:pPr>
            <w:r w:rsidRPr="00D23B11">
              <w:rPr>
                <w:lang w:val="en-US"/>
              </w:rPr>
              <w:t>Target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2799" w:type="dxa"/>
          </w:tcPr>
          <w:p w:rsidR="00A518D2" w:rsidRDefault="00A518D2" w:rsidP="00BD76ED">
            <w:pPr>
              <w:spacing w:after="0" w:line="24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Target</w:t>
            </w:r>
          </w:p>
        </w:tc>
        <w:tc>
          <w:tcPr>
            <w:tcW w:w="2581" w:type="dxa"/>
          </w:tcPr>
          <w:p w:rsidR="00A518D2" w:rsidRPr="00D23B11" w:rsidRDefault="00A518D2" w:rsidP="00BD76ED">
            <w:pPr>
              <w:spacing w:after="0" w:line="24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5 MW</w:t>
            </w:r>
          </w:p>
        </w:tc>
      </w:tr>
    </w:tbl>
    <w:p w:rsidR="00A518D2" w:rsidRDefault="00A518D2">
      <w:bookmarkStart w:id="0" w:name="_GoBack"/>
      <w:bookmarkEnd w:id="0"/>
    </w:p>
    <w:sectPr w:rsidR="00A518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58A" w:rsidRDefault="006B358A" w:rsidP="00167DDF">
      <w:pPr>
        <w:spacing w:after="0" w:line="240" w:lineRule="auto"/>
      </w:pPr>
      <w:r>
        <w:separator/>
      </w:r>
    </w:p>
  </w:endnote>
  <w:endnote w:type="continuationSeparator" w:id="0">
    <w:p w:rsidR="006B358A" w:rsidRDefault="006B358A" w:rsidP="00167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58A" w:rsidRDefault="006B358A" w:rsidP="00167DDF">
      <w:pPr>
        <w:spacing w:after="0" w:line="240" w:lineRule="auto"/>
      </w:pPr>
      <w:r>
        <w:separator/>
      </w:r>
    </w:p>
  </w:footnote>
  <w:footnote w:type="continuationSeparator" w:id="0">
    <w:p w:rsidR="006B358A" w:rsidRDefault="006B358A" w:rsidP="00167DDF">
      <w:pPr>
        <w:spacing w:after="0" w:line="240" w:lineRule="auto"/>
      </w:pPr>
      <w:r>
        <w:continuationSeparator/>
      </w:r>
    </w:p>
  </w:footnote>
  <w:footnote w:id="1">
    <w:p w:rsidR="00167DDF" w:rsidRPr="006D3725" w:rsidRDefault="00167DDF" w:rsidP="00167DDF">
      <w:pPr>
        <w:pStyle w:val="FootnoteText"/>
        <w:rPr>
          <w:lang w:val="en-US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DDF"/>
    <w:rsid w:val="00167DDF"/>
    <w:rsid w:val="002E4062"/>
    <w:rsid w:val="00487A3F"/>
    <w:rsid w:val="005566A4"/>
    <w:rsid w:val="006B358A"/>
    <w:rsid w:val="00891CE4"/>
    <w:rsid w:val="00A518D2"/>
    <w:rsid w:val="00AB0C1F"/>
    <w:rsid w:val="00BF0A3D"/>
    <w:rsid w:val="00CA468C"/>
    <w:rsid w:val="00D55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16AAD"/>
  <w15:chartTrackingRefBased/>
  <w15:docId w15:val="{309373C8-FCC8-43AA-8C3E-A1439CE8C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7DDF"/>
    <w:pPr>
      <w:spacing w:after="240" w:line="280" w:lineRule="atLeast"/>
    </w:pPr>
    <w:rPr>
      <w:rFonts w:ascii="Calibri" w:hAnsi="Calibri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167DDF"/>
    <w:pPr>
      <w:spacing w:after="0" w:line="240" w:lineRule="auto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67DDF"/>
    <w:rPr>
      <w:rFonts w:ascii="Calibri" w:hAnsi="Calibri"/>
      <w:sz w:val="24"/>
      <w:szCs w:val="24"/>
      <w:lang w:val="en-GB"/>
    </w:rPr>
  </w:style>
  <w:style w:type="character" w:styleId="FootnoteReference">
    <w:name w:val="footnote reference"/>
    <w:basedOn w:val="DefaultParagraphFont"/>
    <w:uiPriority w:val="99"/>
    <w:unhideWhenUsed/>
    <w:rsid w:val="00167DDF"/>
    <w:rPr>
      <w:vertAlign w:val="superscript"/>
    </w:rPr>
  </w:style>
  <w:style w:type="paragraph" w:customStyle="1" w:styleId="ESS-TableText">
    <w:name w:val="ESS-Table Text"/>
    <w:uiPriority w:val="34"/>
    <w:qFormat/>
    <w:rsid w:val="00167DDF"/>
    <w:pPr>
      <w:spacing w:before="60" w:after="60" w:line="240" w:lineRule="auto"/>
    </w:pPr>
    <w:rPr>
      <w:rFonts w:ascii="Calibri" w:hAnsi="Calibri"/>
      <w:lang w:val="en-GB"/>
    </w:rPr>
  </w:style>
  <w:style w:type="table" w:styleId="LightGrid-Accent5">
    <w:name w:val="Light Grid Accent 5"/>
    <w:basedOn w:val="TableNormal"/>
    <w:uiPriority w:val="62"/>
    <w:rsid w:val="00167DDF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67D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IE" w:eastAsia="en-I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67DDF"/>
    <w:rPr>
      <w:rFonts w:ascii="Courier New" w:eastAsia="Times New Roman" w:hAnsi="Courier New" w:cs="Courier New"/>
      <w:sz w:val="20"/>
      <w:szCs w:val="20"/>
      <w:lang w:val="en-IE" w:eastAsia="en-IE"/>
    </w:rPr>
  </w:style>
  <w:style w:type="character" w:customStyle="1" w:styleId="w">
    <w:name w:val="w"/>
    <w:basedOn w:val="DefaultParagraphFont"/>
    <w:rsid w:val="00167DDF"/>
  </w:style>
  <w:style w:type="character" w:customStyle="1" w:styleId="nl">
    <w:name w:val="nl"/>
    <w:basedOn w:val="DefaultParagraphFont"/>
    <w:rsid w:val="00167DDF"/>
  </w:style>
  <w:style w:type="character" w:customStyle="1" w:styleId="p">
    <w:name w:val="p"/>
    <w:basedOn w:val="DefaultParagraphFont"/>
    <w:rsid w:val="00167DDF"/>
  </w:style>
  <w:style w:type="character" w:customStyle="1" w:styleId="mi">
    <w:name w:val="mi"/>
    <w:basedOn w:val="DefaultParagraphFont"/>
    <w:rsid w:val="00167DDF"/>
  </w:style>
  <w:style w:type="paragraph" w:styleId="Header">
    <w:name w:val="header"/>
    <w:basedOn w:val="Normal"/>
    <w:link w:val="HeaderChar"/>
    <w:uiPriority w:val="99"/>
    <w:unhideWhenUsed/>
    <w:rsid w:val="00A51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18D2"/>
    <w:rPr>
      <w:rFonts w:ascii="Calibri" w:hAnsi="Calibri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51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18D2"/>
    <w:rPr>
      <w:rFonts w:ascii="Calibri" w:hAnsi="Calibri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96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Spallation Source ERIC</Company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Carroll</dc:creator>
  <cp:keywords/>
  <dc:description/>
  <cp:lastModifiedBy>Martin Carroll</cp:lastModifiedBy>
  <cp:revision>4</cp:revision>
  <dcterms:created xsi:type="dcterms:W3CDTF">2019-12-12T11:43:00Z</dcterms:created>
  <dcterms:modified xsi:type="dcterms:W3CDTF">2019-12-13T07:18:00Z</dcterms:modified>
</cp:coreProperties>
</file>